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AF7" w:rsidRPr="003D1334" w:rsidRDefault="00666AF7" w:rsidP="00FA6522">
      <w:pPr>
        <w:pStyle w:val="Ttulo1"/>
        <w:jc w:val="center"/>
        <w:rPr>
          <w:rFonts w:ascii="Arial" w:hAnsi="Arial" w:cs="Arial"/>
          <w:b w:val="0"/>
          <w:color w:val="002060"/>
          <w:sz w:val="24"/>
          <w:szCs w:val="24"/>
          <w:u w:val="single"/>
        </w:rPr>
      </w:pPr>
      <w:bookmarkStart w:id="0" w:name="_GoBack"/>
      <w:bookmarkEnd w:id="0"/>
      <w:r w:rsidRPr="003D1334">
        <w:rPr>
          <w:rFonts w:ascii="Arial" w:hAnsi="Arial" w:cs="Arial"/>
          <w:b w:val="0"/>
          <w:color w:val="002060"/>
          <w:sz w:val="24"/>
          <w:szCs w:val="24"/>
          <w:u w:val="single"/>
        </w:rPr>
        <w:t>NOTA DE PRENSA</w:t>
      </w:r>
    </w:p>
    <w:p w:rsidR="00666AF7" w:rsidRDefault="00666AF7" w:rsidP="00666AF7">
      <w:pPr>
        <w:pStyle w:val="Ttulo1"/>
        <w:jc w:val="center"/>
        <w:rPr>
          <w:rFonts w:ascii="Arial" w:hAnsi="Arial" w:cs="Arial"/>
          <w:b w:val="0"/>
          <w:color w:val="002060"/>
          <w:sz w:val="40"/>
          <w:szCs w:val="40"/>
        </w:rPr>
      </w:pPr>
      <w:r>
        <w:rPr>
          <w:rFonts w:ascii="Arial" w:hAnsi="Arial" w:cs="Arial"/>
          <w:b w:val="0"/>
          <w:color w:val="002060"/>
          <w:sz w:val="40"/>
          <w:szCs w:val="40"/>
        </w:rPr>
        <w:t>Acerinox cierra el ejercicio 2015 con un beneficio de 43 millones de euros</w:t>
      </w:r>
    </w:p>
    <w:p w:rsidR="00666AF7" w:rsidRDefault="00666AF7" w:rsidP="00666AF7"/>
    <w:p w:rsidR="002B1121" w:rsidRPr="00256FAA" w:rsidRDefault="00666AF7" w:rsidP="004D0859">
      <w:pPr>
        <w:pStyle w:val="Prrafodelista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256FAA">
        <w:rPr>
          <w:rFonts w:ascii="Arial" w:hAnsi="Arial" w:cs="Arial"/>
          <w:sz w:val="26"/>
          <w:szCs w:val="26"/>
        </w:rPr>
        <w:t xml:space="preserve">El resultado bruto de explotación (EBITDA) </w:t>
      </w:r>
      <w:r w:rsidR="007C4479" w:rsidRPr="00256FAA">
        <w:rPr>
          <w:rFonts w:ascii="Arial" w:hAnsi="Arial" w:cs="Arial"/>
          <w:sz w:val="26"/>
          <w:szCs w:val="26"/>
        </w:rPr>
        <w:t>fue de</w:t>
      </w:r>
      <w:r w:rsidR="00256FAA" w:rsidRPr="00256FAA">
        <w:rPr>
          <w:rFonts w:ascii="Arial" w:hAnsi="Arial" w:cs="Arial"/>
          <w:sz w:val="26"/>
          <w:szCs w:val="26"/>
        </w:rPr>
        <w:t xml:space="preserve"> 286 millone</w:t>
      </w:r>
      <w:r w:rsidR="00256FAA">
        <w:rPr>
          <w:rFonts w:ascii="Arial" w:hAnsi="Arial" w:cs="Arial"/>
          <w:sz w:val="26"/>
          <w:szCs w:val="26"/>
        </w:rPr>
        <w:t>s.</w:t>
      </w:r>
    </w:p>
    <w:p w:rsidR="008A540F" w:rsidRPr="00256FAA" w:rsidRDefault="008A540F" w:rsidP="008A540F">
      <w:pPr>
        <w:pStyle w:val="Prrafodelista"/>
        <w:rPr>
          <w:rFonts w:ascii="Arial" w:hAnsi="Arial" w:cs="Arial"/>
          <w:sz w:val="26"/>
          <w:szCs w:val="26"/>
        </w:rPr>
      </w:pPr>
    </w:p>
    <w:p w:rsidR="008A540F" w:rsidRPr="00256FAA" w:rsidRDefault="006A508F" w:rsidP="00256FAA">
      <w:pPr>
        <w:pStyle w:val="Prrafodelista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256FAA">
        <w:rPr>
          <w:rFonts w:ascii="Arial" w:hAnsi="Arial" w:cs="Arial"/>
          <w:sz w:val="26"/>
          <w:szCs w:val="26"/>
        </w:rPr>
        <w:t>Acerinox logró una</w:t>
      </w:r>
      <w:r w:rsidR="00666AF7" w:rsidRPr="00256FAA">
        <w:rPr>
          <w:rFonts w:ascii="Arial" w:hAnsi="Arial" w:cs="Arial"/>
          <w:sz w:val="26"/>
          <w:szCs w:val="26"/>
        </w:rPr>
        <w:t xml:space="preserve"> producción </w:t>
      </w:r>
      <w:r w:rsidRPr="00256FAA">
        <w:rPr>
          <w:rFonts w:ascii="Arial" w:hAnsi="Arial" w:cs="Arial"/>
          <w:sz w:val="26"/>
          <w:szCs w:val="26"/>
        </w:rPr>
        <w:t xml:space="preserve">récord </w:t>
      </w:r>
      <w:r w:rsidR="00666AF7" w:rsidRPr="00256FAA">
        <w:rPr>
          <w:rFonts w:ascii="Arial" w:hAnsi="Arial" w:cs="Arial"/>
          <w:sz w:val="26"/>
          <w:szCs w:val="26"/>
        </w:rPr>
        <w:t xml:space="preserve">de </w:t>
      </w:r>
      <w:r w:rsidRPr="00256FAA">
        <w:rPr>
          <w:rFonts w:ascii="Arial" w:hAnsi="Arial" w:cs="Arial"/>
          <w:sz w:val="26"/>
          <w:szCs w:val="26"/>
        </w:rPr>
        <w:t>laminación en frío que alcanzó 1,6 millones de toneladas.</w:t>
      </w:r>
    </w:p>
    <w:p w:rsidR="008A540F" w:rsidRPr="00256FAA" w:rsidRDefault="008A540F" w:rsidP="008A540F">
      <w:pPr>
        <w:pStyle w:val="Prrafodelista"/>
        <w:rPr>
          <w:rFonts w:ascii="Arial" w:hAnsi="Arial" w:cs="Arial"/>
          <w:sz w:val="26"/>
          <w:szCs w:val="26"/>
        </w:rPr>
      </w:pPr>
    </w:p>
    <w:p w:rsidR="008A540F" w:rsidRPr="00256FAA" w:rsidRDefault="00EA572F" w:rsidP="008A540F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6"/>
          <w:szCs w:val="26"/>
        </w:rPr>
      </w:pPr>
      <w:r w:rsidRPr="00256FAA">
        <w:rPr>
          <w:rFonts w:ascii="Arial" w:hAnsi="Arial" w:cs="Arial"/>
          <w:sz w:val="26"/>
          <w:szCs w:val="26"/>
        </w:rPr>
        <w:t>El Consejo de Administración de Acerinox aprobó</w:t>
      </w:r>
      <w:r w:rsidR="00256FAA" w:rsidRPr="00256FAA">
        <w:rPr>
          <w:rFonts w:ascii="Arial" w:hAnsi="Arial" w:cs="Arial"/>
          <w:sz w:val="26"/>
          <w:szCs w:val="26"/>
        </w:rPr>
        <w:t>, durante el pasado ejercicio,</w:t>
      </w:r>
      <w:r w:rsidRPr="00256FAA">
        <w:rPr>
          <w:rFonts w:ascii="Arial" w:hAnsi="Arial" w:cs="Arial"/>
          <w:sz w:val="26"/>
          <w:szCs w:val="26"/>
        </w:rPr>
        <w:t xml:space="preserve"> el nuevo Plan Estratégico 2016-2020</w:t>
      </w:r>
      <w:r w:rsidR="008A540F" w:rsidRPr="00256FAA">
        <w:rPr>
          <w:rFonts w:ascii="Arial" w:hAnsi="Arial" w:cs="Arial"/>
          <w:sz w:val="26"/>
          <w:szCs w:val="26"/>
        </w:rPr>
        <w:t>.</w:t>
      </w:r>
    </w:p>
    <w:p w:rsidR="008A540F" w:rsidRPr="00256FAA" w:rsidRDefault="008A540F" w:rsidP="008A540F">
      <w:pPr>
        <w:pStyle w:val="Sinespaciado"/>
        <w:ind w:left="720"/>
        <w:jc w:val="both"/>
        <w:rPr>
          <w:rFonts w:ascii="Arial" w:hAnsi="Arial" w:cs="Arial"/>
          <w:sz w:val="26"/>
          <w:szCs w:val="26"/>
        </w:rPr>
      </w:pPr>
    </w:p>
    <w:p w:rsidR="00EA572F" w:rsidRPr="00256FAA" w:rsidRDefault="008A540F" w:rsidP="008A540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6"/>
          <w:szCs w:val="26"/>
        </w:rPr>
      </w:pPr>
      <w:r w:rsidRPr="00256FAA">
        <w:rPr>
          <w:rFonts w:ascii="Arial" w:hAnsi="Arial" w:cs="Arial"/>
          <w:sz w:val="26"/>
          <w:szCs w:val="26"/>
        </w:rPr>
        <w:t xml:space="preserve">Tras un proceso de adaptación </w:t>
      </w:r>
      <w:r w:rsidR="00331B71">
        <w:rPr>
          <w:rFonts w:ascii="Arial" w:hAnsi="Arial" w:cs="Arial"/>
          <w:sz w:val="26"/>
          <w:szCs w:val="26"/>
        </w:rPr>
        <w:t xml:space="preserve">de sus normas de </w:t>
      </w:r>
      <w:r w:rsidRPr="00256FAA">
        <w:rPr>
          <w:rFonts w:ascii="Arial" w:hAnsi="Arial" w:cs="Arial"/>
          <w:sz w:val="26"/>
          <w:szCs w:val="26"/>
        </w:rPr>
        <w:t xml:space="preserve">Gobierno Corporativo, </w:t>
      </w:r>
      <w:r w:rsidR="00994941" w:rsidRPr="00256FAA">
        <w:rPr>
          <w:rFonts w:ascii="Arial" w:hAnsi="Arial" w:cs="Arial"/>
          <w:sz w:val="26"/>
          <w:szCs w:val="26"/>
        </w:rPr>
        <w:t>Acerinox cumple el 95% de las recomendaciones de</w:t>
      </w:r>
      <w:r w:rsidR="00331B71">
        <w:rPr>
          <w:rFonts w:ascii="Arial" w:hAnsi="Arial" w:cs="Arial"/>
          <w:sz w:val="26"/>
          <w:szCs w:val="26"/>
        </w:rPr>
        <w:t>l</w:t>
      </w:r>
      <w:r w:rsidR="00994941" w:rsidRPr="00256FAA">
        <w:rPr>
          <w:rFonts w:ascii="Arial" w:hAnsi="Arial" w:cs="Arial"/>
          <w:sz w:val="26"/>
          <w:szCs w:val="26"/>
        </w:rPr>
        <w:t xml:space="preserve"> </w:t>
      </w:r>
      <w:r w:rsidR="00331B71">
        <w:rPr>
          <w:rFonts w:ascii="Arial" w:hAnsi="Arial" w:cs="Arial"/>
          <w:sz w:val="26"/>
          <w:szCs w:val="26"/>
        </w:rPr>
        <w:t>Código de Buen</w:t>
      </w:r>
      <w:r w:rsidRPr="00256FAA">
        <w:rPr>
          <w:rFonts w:ascii="Arial" w:hAnsi="Arial" w:cs="Arial"/>
          <w:sz w:val="26"/>
          <w:szCs w:val="26"/>
        </w:rPr>
        <w:t xml:space="preserve"> Gobierno Corporativo de las Sociedades Cotizadas Españolas.</w:t>
      </w:r>
    </w:p>
    <w:p w:rsidR="00666AF7" w:rsidRDefault="00666AF7" w:rsidP="002B1121">
      <w:pPr>
        <w:jc w:val="both"/>
        <w:rPr>
          <w:rFonts w:ascii="Arial" w:hAnsi="Arial" w:cs="Arial"/>
          <w:szCs w:val="24"/>
        </w:rPr>
      </w:pPr>
    </w:p>
    <w:p w:rsidR="006F18B1" w:rsidRPr="00596145" w:rsidRDefault="00666AF7" w:rsidP="00596145">
      <w:pPr>
        <w:pStyle w:val="Sinespaciado"/>
        <w:ind w:firstLine="360"/>
        <w:jc w:val="both"/>
        <w:rPr>
          <w:rFonts w:ascii="Arial" w:hAnsi="Arial" w:cs="Arial"/>
        </w:rPr>
      </w:pPr>
      <w:r w:rsidRPr="00596145">
        <w:rPr>
          <w:rFonts w:ascii="Arial" w:hAnsi="Arial" w:cs="Arial"/>
        </w:rPr>
        <w:t xml:space="preserve">Acerinox cerró el ejercicio 2015 con un beneficio neto de 43 millones de euros después de impuestos y minoritarios, </w:t>
      </w:r>
      <w:r w:rsidR="006A508F">
        <w:rPr>
          <w:rFonts w:ascii="Arial" w:hAnsi="Arial" w:cs="Arial"/>
        </w:rPr>
        <w:t>un 63% menos</w:t>
      </w:r>
      <w:r w:rsidR="00D21E0A">
        <w:rPr>
          <w:rFonts w:ascii="Arial" w:hAnsi="Arial" w:cs="Arial"/>
        </w:rPr>
        <w:t xml:space="preserve"> respecto a los 136 millones </w:t>
      </w:r>
      <w:r w:rsidR="006A508F">
        <w:rPr>
          <w:rFonts w:ascii="Arial" w:hAnsi="Arial" w:cs="Arial"/>
        </w:rPr>
        <w:t>de 2014</w:t>
      </w:r>
      <w:r w:rsidRPr="00596145">
        <w:rPr>
          <w:rFonts w:ascii="Arial" w:hAnsi="Arial" w:cs="Arial"/>
        </w:rPr>
        <w:t xml:space="preserve">. </w:t>
      </w:r>
    </w:p>
    <w:p w:rsidR="00596145" w:rsidRPr="00596145" w:rsidRDefault="00596145" w:rsidP="00596145">
      <w:pPr>
        <w:pStyle w:val="Sinespaciado"/>
        <w:jc w:val="both"/>
        <w:rPr>
          <w:rFonts w:ascii="Arial" w:hAnsi="Arial" w:cs="Arial"/>
        </w:rPr>
      </w:pPr>
    </w:p>
    <w:p w:rsidR="00596145" w:rsidRDefault="00666AF7" w:rsidP="00596145">
      <w:pPr>
        <w:pStyle w:val="Sinespaciado"/>
        <w:ind w:firstLine="360"/>
        <w:jc w:val="both"/>
        <w:rPr>
          <w:rFonts w:ascii="Arial" w:hAnsi="Arial" w:cs="Arial"/>
        </w:rPr>
      </w:pPr>
      <w:r w:rsidRPr="00596145">
        <w:rPr>
          <w:rFonts w:ascii="Arial" w:hAnsi="Arial" w:cs="Arial"/>
        </w:rPr>
        <w:t xml:space="preserve">El EBITDA fue de 286 millones, un 36% </w:t>
      </w:r>
      <w:r w:rsidR="00D21E0A">
        <w:rPr>
          <w:rFonts w:ascii="Arial" w:hAnsi="Arial" w:cs="Arial"/>
        </w:rPr>
        <w:t>menos que en 2014</w:t>
      </w:r>
      <w:r w:rsidRPr="00596145">
        <w:rPr>
          <w:rFonts w:ascii="Arial" w:hAnsi="Arial" w:cs="Arial"/>
        </w:rPr>
        <w:t xml:space="preserve">, cuando </w:t>
      </w:r>
      <w:r w:rsidR="00596145">
        <w:rPr>
          <w:rFonts w:ascii="Arial" w:hAnsi="Arial" w:cs="Arial"/>
        </w:rPr>
        <w:t>ascendió a</w:t>
      </w:r>
      <w:r w:rsidRPr="00596145">
        <w:rPr>
          <w:rFonts w:ascii="Arial" w:hAnsi="Arial" w:cs="Arial"/>
        </w:rPr>
        <w:t xml:space="preserve"> 454 millones. </w:t>
      </w:r>
    </w:p>
    <w:p w:rsidR="00596145" w:rsidRDefault="00596145" w:rsidP="00596145">
      <w:pPr>
        <w:pStyle w:val="Sinespaciado"/>
        <w:ind w:firstLine="360"/>
        <w:jc w:val="both"/>
        <w:rPr>
          <w:rFonts w:ascii="Arial" w:hAnsi="Arial" w:cs="Arial"/>
        </w:rPr>
      </w:pPr>
    </w:p>
    <w:p w:rsidR="00666AF7" w:rsidRPr="00596145" w:rsidRDefault="00666AF7" w:rsidP="00596145">
      <w:pPr>
        <w:pStyle w:val="Sinespaciado"/>
        <w:ind w:firstLine="360"/>
        <w:jc w:val="both"/>
        <w:rPr>
          <w:rFonts w:ascii="Arial" w:hAnsi="Arial" w:cs="Arial"/>
        </w:rPr>
      </w:pPr>
      <w:r w:rsidRPr="00596145">
        <w:rPr>
          <w:rFonts w:ascii="Arial" w:hAnsi="Arial" w:cs="Arial"/>
        </w:rPr>
        <w:t>Po</w:t>
      </w:r>
      <w:r w:rsidR="007C4479">
        <w:rPr>
          <w:rFonts w:ascii="Arial" w:hAnsi="Arial" w:cs="Arial"/>
        </w:rPr>
        <w:t>r su parte, la facturación del G</w:t>
      </w:r>
      <w:r w:rsidRPr="00596145">
        <w:rPr>
          <w:rFonts w:ascii="Arial" w:hAnsi="Arial" w:cs="Arial"/>
        </w:rPr>
        <w:t>rupo</w:t>
      </w:r>
      <w:r w:rsidR="008250C1">
        <w:rPr>
          <w:rFonts w:ascii="Arial" w:hAnsi="Arial" w:cs="Arial"/>
        </w:rPr>
        <w:t xml:space="preserve"> en 2015, de 4.221 millones,</w:t>
      </w:r>
      <w:r w:rsidRPr="00596145">
        <w:rPr>
          <w:rFonts w:ascii="Arial" w:hAnsi="Arial" w:cs="Arial"/>
        </w:rPr>
        <w:t xml:space="preserve"> fue un 3,6% inferior a la del ejercicio 2014. </w:t>
      </w:r>
      <w:r w:rsidR="00596145">
        <w:rPr>
          <w:rFonts w:ascii="Arial" w:hAnsi="Arial" w:cs="Arial"/>
        </w:rPr>
        <w:t xml:space="preserve">Durante el </w:t>
      </w:r>
      <w:r w:rsidR="008250C1">
        <w:rPr>
          <w:rFonts w:ascii="Arial" w:hAnsi="Arial" w:cs="Arial"/>
        </w:rPr>
        <w:t>año</w:t>
      </w:r>
      <w:r w:rsidR="00D21E0A">
        <w:rPr>
          <w:rFonts w:ascii="Arial" w:hAnsi="Arial" w:cs="Arial"/>
        </w:rPr>
        <w:t>,</w:t>
      </w:r>
      <w:r w:rsidR="00596145">
        <w:rPr>
          <w:rFonts w:ascii="Arial" w:hAnsi="Arial" w:cs="Arial"/>
        </w:rPr>
        <w:t xml:space="preserve"> </w:t>
      </w:r>
      <w:r w:rsidR="00D21E0A">
        <w:rPr>
          <w:rFonts w:ascii="Arial" w:hAnsi="Arial" w:cs="Arial"/>
        </w:rPr>
        <w:t>el Grupo</w:t>
      </w:r>
      <w:r w:rsidR="00596145">
        <w:rPr>
          <w:rFonts w:ascii="Arial" w:hAnsi="Arial" w:cs="Arial"/>
        </w:rPr>
        <w:t xml:space="preserve"> realizó un ajuste de inventario a valor neto de realización por importe de 14 millones de euros. </w:t>
      </w:r>
    </w:p>
    <w:p w:rsidR="00596145" w:rsidRPr="00596145" w:rsidRDefault="00596145" w:rsidP="00596145">
      <w:pPr>
        <w:pStyle w:val="Sinespaciado"/>
        <w:jc w:val="both"/>
        <w:rPr>
          <w:rFonts w:ascii="Arial" w:hAnsi="Arial" w:cs="Arial"/>
        </w:rPr>
      </w:pPr>
    </w:p>
    <w:p w:rsidR="00596145" w:rsidRDefault="00487ED3" w:rsidP="00596145">
      <w:pPr>
        <w:pStyle w:val="Sinespaciad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En el cuarto trimestre del año</w:t>
      </w:r>
      <w:r w:rsidR="00D21E0A">
        <w:rPr>
          <w:rFonts w:ascii="Arial" w:hAnsi="Arial" w:cs="Arial"/>
        </w:rPr>
        <w:t>,</w:t>
      </w:r>
      <w:r w:rsidR="007C4479">
        <w:rPr>
          <w:rFonts w:ascii="Arial" w:hAnsi="Arial" w:cs="Arial"/>
        </w:rPr>
        <w:t xml:space="preserve"> la C</w:t>
      </w:r>
      <w:r w:rsidR="00666AF7" w:rsidRPr="00596145">
        <w:rPr>
          <w:rFonts w:ascii="Arial" w:hAnsi="Arial" w:cs="Arial"/>
        </w:rPr>
        <w:t>ompañía presentó pérdidas por</w:t>
      </w:r>
      <w:r w:rsidR="007C4479">
        <w:rPr>
          <w:rFonts w:ascii="Arial" w:hAnsi="Arial" w:cs="Arial"/>
        </w:rPr>
        <w:t xml:space="preserve"> valor de 13 millones de euros debido principalmente al a</w:t>
      </w:r>
      <w:r w:rsidR="00EE131C">
        <w:rPr>
          <w:rFonts w:ascii="Arial" w:hAnsi="Arial" w:cs="Arial"/>
        </w:rPr>
        <w:t xml:space="preserve">juste de los precios del níquel, </w:t>
      </w:r>
      <w:r w:rsidR="007C4479">
        <w:rPr>
          <w:rFonts w:ascii="Arial" w:hAnsi="Arial" w:cs="Arial"/>
        </w:rPr>
        <w:t>que ha</w:t>
      </w:r>
      <w:r w:rsidR="008250C1">
        <w:rPr>
          <w:rFonts w:ascii="Arial" w:hAnsi="Arial" w:cs="Arial"/>
        </w:rPr>
        <w:t>n</w:t>
      </w:r>
      <w:r w:rsidR="007C4479">
        <w:rPr>
          <w:rFonts w:ascii="Arial" w:hAnsi="Arial" w:cs="Arial"/>
        </w:rPr>
        <w:t xml:space="preserve"> bajado hasta mínimos de los últimos trece años. </w:t>
      </w:r>
    </w:p>
    <w:p w:rsidR="008250C1" w:rsidRDefault="008250C1" w:rsidP="00596145">
      <w:pPr>
        <w:pStyle w:val="Sinespaciado"/>
        <w:ind w:firstLine="360"/>
        <w:jc w:val="both"/>
        <w:rPr>
          <w:rFonts w:ascii="Arial" w:hAnsi="Arial" w:cs="Arial"/>
        </w:rPr>
      </w:pPr>
    </w:p>
    <w:p w:rsidR="008250C1" w:rsidRDefault="008250C1" w:rsidP="008250C1">
      <w:pPr>
        <w:pStyle w:val="Sinespaciad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2015 resultó un año especialmente difícil por la continua caída del precio del níquel, las importaciones asiáticas, la fuerte competencia y la corrección de existencias en la cadena de suministro con altos niveles de inventarios. </w:t>
      </w:r>
    </w:p>
    <w:p w:rsidR="008A540F" w:rsidRDefault="008A540F" w:rsidP="00256FAA">
      <w:pPr>
        <w:pStyle w:val="Sinespaciado"/>
        <w:jc w:val="both"/>
        <w:rPr>
          <w:rFonts w:ascii="Arial" w:hAnsi="Arial" w:cs="Arial"/>
        </w:rPr>
      </w:pPr>
    </w:p>
    <w:p w:rsidR="008250C1" w:rsidRPr="00596145" w:rsidRDefault="008250C1" w:rsidP="008250C1">
      <w:pPr>
        <w:pStyle w:val="Sinespaciad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Todos estos factores han provocado una caída de precios durante el ejercicio que, en el caso de la bobina AISI 304, </w:t>
      </w:r>
      <w:r w:rsidR="00EA572F">
        <w:rPr>
          <w:rFonts w:ascii="Arial" w:hAnsi="Arial" w:cs="Arial"/>
        </w:rPr>
        <w:t>ha sido</w:t>
      </w:r>
      <w:r>
        <w:rPr>
          <w:rFonts w:ascii="Arial" w:hAnsi="Arial" w:cs="Arial"/>
        </w:rPr>
        <w:t xml:space="preserve"> de un 42% en EEUU y un 27% en Asia. </w:t>
      </w:r>
      <w:r w:rsidRPr="004D0859">
        <w:rPr>
          <w:rFonts w:ascii="Arial" w:hAnsi="Arial" w:cs="Arial"/>
        </w:rPr>
        <w:t xml:space="preserve">En Europa el descenso fue del </w:t>
      </w:r>
      <w:r>
        <w:rPr>
          <w:rFonts w:ascii="Arial" w:hAnsi="Arial" w:cs="Arial"/>
        </w:rPr>
        <w:t>12%, amortiguado por la depreciación del euro.</w:t>
      </w:r>
    </w:p>
    <w:p w:rsidR="008250C1" w:rsidRDefault="008250C1" w:rsidP="008250C1">
      <w:pPr>
        <w:pStyle w:val="Sinespaciado"/>
        <w:ind w:firstLine="360"/>
        <w:jc w:val="both"/>
        <w:rPr>
          <w:rFonts w:ascii="Arial" w:hAnsi="Arial" w:cs="Arial"/>
        </w:rPr>
      </w:pPr>
    </w:p>
    <w:p w:rsidR="008250C1" w:rsidRDefault="008250C1" w:rsidP="00256FAA">
      <w:pPr>
        <w:pStyle w:val="Sinespaciad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Hay que destacar que, en este escenario, la Compañía alcanzó una producción récord de laminación en frío que ascendió hasta 1,6 millones de toneladas. </w:t>
      </w:r>
    </w:p>
    <w:p w:rsidR="00256FAA" w:rsidRPr="00596145" w:rsidRDefault="00256FAA" w:rsidP="00256FAA">
      <w:pPr>
        <w:pStyle w:val="Sinespaciado"/>
        <w:ind w:firstLine="360"/>
        <w:jc w:val="both"/>
        <w:rPr>
          <w:rFonts w:ascii="Arial" w:hAnsi="Arial" w:cs="Arial"/>
        </w:rPr>
      </w:pPr>
    </w:p>
    <w:p w:rsidR="00596145" w:rsidRDefault="00D21E0A" w:rsidP="007C4479">
      <w:pPr>
        <w:pStyle w:val="Sinespaciad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La presencia internacional del G</w:t>
      </w:r>
      <w:r w:rsidR="00666AF7" w:rsidRPr="00596145">
        <w:rPr>
          <w:rFonts w:ascii="Arial" w:hAnsi="Arial" w:cs="Arial"/>
        </w:rPr>
        <w:t xml:space="preserve">rupo –que opera en más de 80 países y dispone de plantas de producción en cuatro continentes- y la </w:t>
      </w:r>
      <w:r w:rsidR="007C4479">
        <w:rPr>
          <w:rFonts w:ascii="Arial" w:hAnsi="Arial" w:cs="Arial"/>
        </w:rPr>
        <w:t>eficiencia y la flexibilidad lograda</w:t>
      </w:r>
      <w:r w:rsidR="00666AF7" w:rsidRPr="00596145">
        <w:rPr>
          <w:rFonts w:ascii="Arial" w:hAnsi="Arial" w:cs="Arial"/>
        </w:rPr>
        <w:t>s a través de los Planes de Excelencia</w:t>
      </w:r>
      <w:r w:rsidR="00EE131C">
        <w:rPr>
          <w:rFonts w:ascii="Arial" w:hAnsi="Arial" w:cs="Arial"/>
        </w:rPr>
        <w:t>,</w:t>
      </w:r>
      <w:r w:rsidR="00666AF7" w:rsidRPr="0059614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resultaron</w:t>
      </w:r>
      <w:r w:rsidR="00666AF7" w:rsidRPr="00596145">
        <w:rPr>
          <w:rFonts w:ascii="Arial" w:hAnsi="Arial" w:cs="Arial"/>
        </w:rPr>
        <w:t xml:space="preserve"> fundamentales, una vez más, para enfrentarse a los múltiples condicionantes que se dieron el pasado año en el sector y a la desfavorable situación de mercado en la que el grupo desarrolló su actividad.</w:t>
      </w:r>
    </w:p>
    <w:p w:rsidR="006A508F" w:rsidRDefault="006A508F" w:rsidP="004D0859">
      <w:pPr>
        <w:pStyle w:val="Sinespaciado"/>
        <w:jc w:val="both"/>
        <w:rPr>
          <w:rFonts w:ascii="Arial" w:hAnsi="Arial" w:cs="Arial"/>
        </w:rPr>
      </w:pPr>
    </w:p>
    <w:p w:rsidR="00596145" w:rsidRDefault="00FA6522" w:rsidP="004D0859">
      <w:pPr>
        <w:pStyle w:val="Sinespaciad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Una causa </w:t>
      </w:r>
      <w:r w:rsidR="006A508F">
        <w:rPr>
          <w:rFonts w:ascii="Arial" w:hAnsi="Arial" w:cs="Arial"/>
        </w:rPr>
        <w:t xml:space="preserve">sustancial de dichas mejoras en los procesos viene determinada por el éxito de los Planes de Excelencia. Actualmente se encuentra en vigor el Plan de Excelencia IV </w:t>
      </w:r>
      <w:r w:rsidR="00D21E0A">
        <w:rPr>
          <w:rFonts w:ascii="Arial" w:hAnsi="Arial" w:cs="Arial"/>
        </w:rPr>
        <w:t>(</w:t>
      </w:r>
      <w:r w:rsidR="006A508F">
        <w:rPr>
          <w:rFonts w:ascii="Arial" w:hAnsi="Arial" w:cs="Arial"/>
        </w:rPr>
        <w:t>2015-2016</w:t>
      </w:r>
      <w:r w:rsidR="00D21E0A">
        <w:rPr>
          <w:rFonts w:ascii="Arial" w:hAnsi="Arial" w:cs="Arial"/>
        </w:rPr>
        <w:t>)</w:t>
      </w:r>
      <w:r w:rsidR="006A508F">
        <w:rPr>
          <w:rFonts w:ascii="Arial" w:hAnsi="Arial" w:cs="Arial"/>
        </w:rPr>
        <w:t>,</w:t>
      </w:r>
      <w:r w:rsidR="007C4479">
        <w:rPr>
          <w:rFonts w:ascii="Arial" w:hAnsi="Arial" w:cs="Arial"/>
        </w:rPr>
        <w:t xml:space="preserve"> que</w:t>
      </w:r>
      <w:r w:rsidR="006A508F">
        <w:rPr>
          <w:rFonts w:ascii="Arial" w:hAnsi="Arial" w:cs="Arial"/>
        </w:rPr>
        <w:t xml:space="preserve"> ha logrado ya el 55% de sus objetivos, lo que se traduce en un ahorro recurrente anual de 37 millones de euros. </w:t>
      </w:r>
    </w:p>
    <w:p w:rsidR="004D0859" w:rsidRDefault="004D0859" w:rsidP="004D0859">
      <w:pPr>
        <w:pStyle w:val="Sinespaciado"/>
        <w:rPr>
          <w:rFonts w:ascii="Arial" w:hAnsi="Arial" w:cs="Arial"/>
          <w:b/>
          <w:color w:val="002060"/>
          <w:sz w:val="28"/>
          <w:szCs w:val="28"/>
        </w:rPr>
      </w:pPr>
    </w:p>
    <w:p w:rsidR="004D0859" w:rsidRPr="00D21E0A" w:rsidRDefault="004D0859" w:rsidP="004D0859">
      <w:pPr>
        <w:pStyle w:val="Sinespaciado"/>
        <w:rPr>
          <w:rFonts w:ascii="Arial" w:hAnsi="Arial" w:cs="Arial"/>
          <w:b/>
          <w:color w:val="002060"/>
          <w:sz w:val="28"/>
          <w:szCs w:val="28"/>
        </w:rPr>
      </w:pPr>
      <w:r>
        <w:rPr>
          <w:rFonts w:ascii="Arial" w:hAnsi="Arial" w:cs="Arial"/>
          <w:b/>
          <w:color w:val="002060"/>
          <w:sz w:val="28"/>
          <w:szCs w:val="28"/>
        </w:rPr>
        <w:t>Acerinox aprobó el Plan Estratégico 2016-2020</w:t>
      </w:r>
    </w:p>
    <w:p w:rsidR="004D0859" w:rsidRPr="00D21E0A" w:rsidRDefault="004D0859" w:rsidP="004D0859">
      <w:pPr>
        <w:pStyle w:val="Sinespaciado"/>
        <w:ind w:firstLine="360"/>
        <w:jc w:val="both"/>
        <w:rPr>
          <w:rFonts w:ascii="Arial" w:hAnsi="Arial" w:cs="Arial"/>
          <w:sz w:val="28"/>
          <w:szCs w:val="28"/>
        </w:rPr>
      </w:pPr>
    </w:p>
    <w:p w:rsidR="004D0859" w:rsidRDefault="004D0859" w:rsidP="004D0859">
      <w:pPr>
        <w:pStyle w:val="Sinespaciad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Consejo de Administración de Acerinox aprobó, el pasado 29 de octubre de 2015, el Plan Estratégico 2016-2020 </w:t>
      </w:r>
      <w:r w:rsidR="008250C1">
        <w:rPr>
          <w:rFonts w:ascii="Arial" w:hAnsi="Arial" w:cs="Arial"/>
        </w:rPr>
        <w:t>para</w:t>
      </w:r>
      <w:r>
        <w:rPr>
          <w:rFonts w:ascii="Arial" w:hAnsi="Arial" w:cs="Arial"/>
        </w:rPr>
        <w:t xml:space="preserve"> adaptar el plan anterior a las nuevas situaciones de mercado y al exceso de capacidad en la producción mundial de acero inoxidable.</w:t>
      </w:r>
    </w:p>
    <w:p w:rsidR="004D0859" w:rsidRDefault="004D0859" w:rsidP="004D0859">
      <w:pPr>
        <w:pStyle w:val="Sinespaciado"/>
        <w:ind w:firstLine="360"/>
        <w:jc w:val="both"/>
        <w:rPr>
          <w:rFonts w:ascii="Arial" w:hAnsi="Arial" w:cs="Arial"/>
        </w:rPr>
      </w:pPr>
    </w:p>
    <w:p w:rsidR="004D0859" w:rsidRPr="004D0859" w:rsidRDefault="004D0859" w:rsidP="004D0859">
      <w:pPr>
        <w:pStyle w:val="Sinespaciad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nuevo Plan Estratégico </w:t>
      </w:r>
      <w:r w:rsidR="00487ED3">
        <w:rPr>
          <w:rFonts w:ascii="Arial" w:hAnsi="Arial" w:cs="Arial"/>
        </w:rPr>
        <w:t xml:space="preserve">se fundamenta en la excelencia operativa, la utilización óptima de las capacidades de las fábricas del Grupo, el desarrollo de inversiones de rápido retorno y la solidez financiera. Sobre estos pilares, Acerinox mejorará la rentabilidad de sus activos aportando flexibilidad para adaptarse a las </w:t>
      </w:r>
      <w:r w:rsidR="00EA572F">
        <w:rPr>
          <w:rFonts w:ascii="Arial" w:hAnsi="Arial" w:cs="Arial"/>
        </w:rPr>
        <w:t>variaciones</w:t>
      </w:r>
      <w:r w:rsidR="00487ED3">
        <w:rPr>
          <w:rFonts w:ascii="Arial" w:hAnsi="Arial" w:cs="Arial"/>
        </w:rPr>
        <w:t xml:space="preserve"> de</w:t>
      </w:r>
      <w:r w:rsidR="00EA572F">
        <w:rPr>
          <w:rFonts w:ascii="Arial" w:hAnsi="Arial" w:cs="Arial"/>
        </w:rPr>
        <w:t>l</w:t>
      </w:r>
      <w:r w:rsidR="00487ED3">
        <w:rPr>
          <w:rFonts w:ascii="Arial" w:hAnsi="Arial" w:cs="Arial"/>
        </w:rPr>
        <w:t xml:space="preserve"> mercado. </w:t>
      </w:r>
    </w:p>
    <w:p w:rsidR="00D21E0A" w:rsidRPr="007C4479" w:rsidRDefault="00D21E0A" w:rsidP="00D21E0A">
      <w:pPr>
        <w:pStyle w:val="Sinespaciado"/>
        <w:rPr>
          <w:rFonts w:ascii="Arial" w:hAnsi="Arial" w:cs="Arial"/>
          <w:b/>
        </w:rPr>
      </w:pPr>
    </w:p>
    <w:p w:rsidR="00D21E0A" w:rsidRPr="00D21E0A" w:rsidRDefault="00D21E0A" w:rsidP="00D21E0A">
      <w:pPr>
        <w:pStyle w:val="Sinespaciado"/>
        <w:rPr>
          <w:rFonts w:ascii="Arial" w:hAnsi="Arial" w:cs="Arial"/>
          <w:b/>
          <w:color w:val="002060"/>
          <w:sz w:val="28"/>
          <w:szCs w:val="28"/>
        </w:rPr>
      </w:pPr>
      <w:r w:rsidRPr="00D21E0A">
        <w:rPr>
          <w:rFonts w:ascii="Arial" w:hAnsi="Arial" w:cs="Arial"/>
          <w:b/>
          <w:color w:val="002060"/>
          <w:sz w:val="28"/>
          <w:szCs w:val="28"/>
        </w:rPr>
        <w:t>Dos grandes inversiones en NAS y Acerinox Europa</w:t>
      </w:r>
    </w:p>
    <w:p w:rsidR="00D21E0A" w:rsidRPr="00D21E0A" w:rsidRDefault="00D21E0A" w:rsidP="00596145">
      <w:pPr>
        <w:pStyle w:val="Sinespaciado"/>
        <w:ind w:firstLine="360"/>
        <w:jc w:val="both"/>
        <w:rPr>
          <w:rFonts w:ascii="Arial" w:hAnsi="Arial" w:cs="Arial"/>
          <w:sz w:val="28"/>
          <w:szCs w:val="28"/>
        </w:rPr>
      </w:pPr>
    </w:p>
    <w:p w:rsidR="00D21E0A" w:rsidRDefault="008250C1" w:rsidP="00596145">
      <w:pPr>
        <w:pStyle w:val="Sinespaciad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Enmarcadas</w:t>
      </w:r>
      <w:r w:rsidR="004D0859">
        <w:rPr>
          <w:rFonts w:ascii="Arial" w:hAnsi="Arial" w:cs="Arial"/>
        </w:rPr>
        <w:t xml:space="preserve"> en el Plan Estratégico</w:t>
      </w:r>
      <w:r w:rsidR="00D21E0A">
        <w:rPr>
          <w:rFonts w:ascii="Arial" w:hAnsi="Arial" w:cs="Arial"/>
        </w:rPr>
        <w:t xml:space="preserve">, Acerinox </w:t>
      </w:r>
      <w:r w:rsidR="00EA572F">
        <w:rPr>
          <w:rFonts w:ascii="Arial" w:hAnsi="Arial" w:cs="Arial"/>
        </w:rPr>
        <w:t>aprobó</w:t>
      </w:r>
      <w:r w:rsidR="00487ED3">
        <w:rPr>
          <w:rFonts w:ascii="Arial" w:hAnsi="Arial" w:cs="Arial"/>
        </w:rPr>
        <w:t xml:space="preserve"> en 2015 </w:t>
      </w:r>
      <w:r w:rsidR="00D21E0A">
        <w:rPr>
          <w:rFonts w:ascii="Arial" w:hAnsi="Arial" w:cs="Arial"/>
        </w:rPr>
        <w:t xml:space="preserve">dos importantes inversiones por valor </w:t>
      </w:r>
      <w:r w:rsidR="00FA6522">
        <w:rPr>
          <w:rFonts w:ascii="Arial" w:hAnsi="Arial" w:cs="Arial"/>
        </w:rPr>
        <w:t xml:space="preserve">conjunto </w:t>
      </w:r>
      <w:r w:rsidR="00D21E0A">
        <w:rPr>
          <w:rFonts w:ascii="Arial" w:hAnsi="Arial" w:cs="Arial"/>
        </w:rPr>
        <w:t xml:space="preserve">de 256 millones de euros en sus plantas de North American </w:t>
      </w:r>
      <w:proofErr w:type="spellStart"/>
      <w:r w:rsidR="00D21E0A">
        <w:rPr>
          <w:rFonts w:ascii="Arial" w:hAnsi="Arial" w:cs="Arial"/>
        </w:rPr>
        <w:t>Stainless</w:t>
      </w:r>
      <w:proofErr w:type="spellEnd"/>
      <w:r w:rsidR="00D21E0A">
        <w:rPr>
          <w:rFonts w:ascii="Arial" w:hAnsi="Arial" w:cs="Arial"/>
        </w:rPr>
        <w:t xml:space="preserve"> y Acerinox Europa. </w:t>
      </w:r>
    </w:p>
    <w:p w:rsidR="00D21E0A" w:rsidRDefault="00D21E0A" w:rsidP="00D21E0A">
      <w:pPr>
        <w:pStyle w:val="Sinespaciado"/>
        <w:ind w:firstLine="360"/>
        <w:jc w:val="both"/>
        <w:rPr>
          <w:rFonts w:ascii="Arial" w:hAnsi="Arial" w:cs="Arial"/>
        </w:rPr>
      </w:pPr>
    </w:p>
    <w:p w:rsidR="00D21E0A" w:rsidRPr="001E22F3" w:rsidRDefault="00D21E0A" w:rsidP="008250C1">
      <w:pPr>
        <w:ind w:firstLine="36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En el caso de la factoría de Kentucky (EE.UU), ya han comenzado las obras para la construcción de </w:t>
      </w:r>
      <w:r w:rsidRPr="001E22F3">
        <w:rPr>
          <w:rFonts w:ascii="Arial" w:hAnsi="Arial" w:cs="Arial"/>
          <w:szCs w:val="24"/>
        </w:rPr>
        <w:t xml:space="preserve">una línea de recocido brillante de acabado BA y un </w:t>
      </w:r>
      <w:proofErr w:type="spellStart"/>
      <w:r>
        <w:rPr>
          <w:rFonts w:ascii="Arial" w:hAnsi="Arial" w:cs="Arial"/>
          <w:szCs w:val="24"/>
        </w:rPr>
        <w:t>laminador</w:t>
      </w:r>
      <w:proofErr w:type="spellEnd"/>
      <w:r w:rsidRPr="001E22F3">
        <w:rPr>
          <w:rFonts w:ascii="Arial" w:hAnsi="Arial" w:cs="Arial"/>
          <w:szCs w:val="24"/>
        </w:rPr>
        <w:t xml:space="preserve"> en frío con el objetivo de </w:t>
      </w:r>
      <w:r w:rsidR="00EE131C">
        <w:rPr>
          <w:rFonts w:ascii="Arial" w:hAnsi="Arial" w:cs="Arial"/>
          <w:szCs w:val="24"/>
        </w:rPr>
        <w:t>mejorar la utilización de su capacidad</w:t>
      </w:r>
      <w:r w:rsidRPr="001E22F3">
        <w:rPr>
          <w:rFonts w:ascii="Arial" w:hAnsi="Arial" w:cs="Arial"/>
          <w:szCs w:val="24"/>
        </w:rPr>
        <w:t xml:space="preserve"> de producción y de ampliar la oferta de productos. </w:t>
      </w:r>
      <w:r>
        <w:rPr>
          <w:rFonts w:ascii="Arial" w:hAnsi="Arial" w:cs="Arial"/>
          <w:szCs w:val="24"/>
        </w:rPr>
        <w:t>Para ello, el Grupo aprobó</w:t>
      </w:r>
      <w:r w:rsidR="00487ED3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una inversión de 116 millones de euros</w:t>
      </w:r>
      <w:r w:rsidR="00487ED3">
        <w:rPr>
          <w:rFonts w:ascii="Arial" w:hAnsi="Arial" w:cs="Arial"/>
          <w:szCs w:val="24"/>
        </w:rPr>
        <w:t xml:space="preserve"> en marzo de 2015</w:t>
      </w:r>
      <w:r>
        <w:rPr>
          <w:rFonts w:ascii="Arial" w:hAnsi="Arial" w:cs="Arial"/>
          <w:szCs w:val="24"/>
        </w:rPr>
        <w:t xml:space="preserve">. </w:t>
      </w:r>
    </w:p>
    <w:p w:rsidR="00D21E0A" w:rsidRDefault="00D21E0A" w:rsidP="00D21E0A">
      <w:pPr>
        <w:pStyle w:val="Sinespaciado"/>
        <w:ind w:firstLine="360"/>
        <w:jc w:val="both"/>
        <w:rPr>
          <w:rFonts w:ascii="Arial" w:hAnsi="Arial" w:cs="Arial"/>
        </w:rPr>
      </w:pPr>
    </w:p>
    <w:p w:rsidR="00D21E0A" w:rsidRPr="00D21E0A" w:rsidRDefault="00FA6522" w:rsidP="008250C1">
      <w:pPr>
        <w:pStyle w:val="Sinespaciado"/>
        <w:ind w:firstLine="36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</w:rPr>
        <w:t>En lo que a la planta española se refiere</w:t>
      </w:r>
      <w:r w:rsidR="00D21E0A">
        <w:rPr>
          <w:rFonts w:ascii="Arial" w:hAnsi="Arial" w:cs="Arial"/>
        </w:rPr>
        <w:t>, Acerinox Europa tiene aprobados</w:t>
      </w:r>
      <w:r w:rsidR="004D0859">
        <w:rPr>
          <w:rFonts w:ascii="Arial" w:hAnsi="Arial" w:cs="Arial"/>
        </w:rPr>
        <w:t>, desde el pasado mes de diciembre,</w:t>
      </w:r>
      <w:r w:rsidR="00D21E0A">
        <w:rPr>
          <w:rFonts w:ascii="Arial" w:hAnsi="Arial" w:cs="Arial"/>
        </w:rPr>
        <w:t xml:space="preserve"> 140 millones de euros para la</w:t>
      </w:r>
      <w:r w:rsidR="00D21E0A" w:rsidRPr="00A41CA7">
        <w:rPr>
          <w:rFonts w:ascii="Arial" w:hAnsi="Arial" w:cs="Arial"/>
          <w:szCs w:val="24"/>
        </w:rPr>
        <w:t xml:space="preserve"> adquisición de una línea de recocido y decapado (AP)</w:t>
      </w:r>
      <w:r w:rsidR="00D21E0A">
        <w:rPr>
          <w:rFonts w:ascii="Arial" w:hAnsi="Arial" w:cs="Arial"/>
          <w:szCs w:val="24"/>
        </w:rPr>
        <w:t xml:space="preserve"> y</w:t>
      </w:r>
      <w:r w:rsidR="00D21E0A" w:rsidRPr="00A41CA7">
        <w:rPr>
          <w:rFonts w:ascii="Arial" w:hAnsi="Arial" w:cs="Arial"/>
          <w:szCs w:val="24"/>
        </w:rPr>
        <w:t xml:space="preserve"> un </w:t>
      </w:r>
      <w:r w:rsidR="00D21E0A">
        <w:rPr>
          <w:rFonts w:ascii="Arial" w:hAnsi="Arial" w:cs="Arial"/>
          <w:szCs w:val="24"/>
        </w:rPr>
        <w:t>nuevo tren de laminación en frío</w:t>
      </w:r>
      <w:r w:rsidR="00D21E0A" w:rsidRPr="00A41CA7">
        <w:rPr>
          <w:rFonts w:ascii="Arial" w:hAnsi="Arial" w:cs="Arial"/>
          <w:szCs w:val="24"/>
        </w:rPr>
        <w:t>.</w:t>
      </w:r>
      <w:r w:rsidR="00D21E0A">
        <w:rPr>
          <w:rFonts w:ascii="Arial" w:hAnsi="Arial" w:cs="Arial"/>
          <w:szCs w:val="24"/>
        </w:rPr>
        <w:t xml:space="preserve"> Las obras</w:t>
      </w:r>
      <w:r w:rsidR="00EA572F">
        <w:rPr>
          <w:rFonts w:ascii="Arial" w:hAnsi="Arial" w:cs="Arial"/>
          <w:szCs w:val="24"/>
        </w:rPr>
        <w:t xml:space="preserve"> de construcción</w:t>
      </w:r>
      <w:r w:rsidR="00D21E0A">
        <w:rPr>
          <w:rFonts w:ascii="Arial" w:hAnsi="Arial" w:cs="Arial"/>
          <w:szCs w:val="24"/>
        </w:rPr>
        <w:t xml:space="preserve"> comenzarán en los próximos meses y la puesta en marcha de los equipos se producirá a </w:t>
      </w:r>
      <w:r w:rsidR="0013541D">
        <w:rPr>
          <w:rFonts w:ascii="Arial" w:hAnsi="Arial" w:cs="Arial"/>
          <w:szCs w:val="24"/>
        </w:rPr>
        <w:t xml:space="preserve">finales de 2017. </w:t>
      </w:r>
      <w:r w:rsidR="00D21E0A" w:rsidRPr="00A41CA7">
        <w:rPr>
          <w:rFonts w:ascii="Arial" w:hAnsi="Arial" w:cs="Arial"/>
          <w:szCs w:val="24"/>
        </w:rPr>
        <w:t xml:space="preserve"> </w:t>
      </w:r>
    </w:p>
    <w:p w:rsidR="00994941" w:rsidRDefault="00994941" w:rsidP="00EA572F">
      <w:pPr>
        <w:pStyle w:val="Sinespaciado"/>
        <w:rPr>
          <w:rFonts w:ascii="Arial" w:hAnsi="Arial" w:cs="Arial"/>
          <w:b/>
          <w:color w:val="002060"/>
          <w:sz w:val="28"/>
          <w:szCs w:val="28"/>
        </w:rPr>
      </w:pPr>
    </w:p>
    <w:p w:rsidR="00EA572F" w:rsidRPr="00D21E0A" w:rsidRDefault="00994941" w:rsidP="00EA572F">
      <w:pPr>
        <w:pStyle w:val="Sinespaciado"/>
        <w:rPr>
          <w:rFonts w:ascii="Arial" w:hAnsi="Arial" w:cs="Arial"/>
          <w:b/>
          <w:color w:val="002060"/>
          <w:sz w:val="28"/>
          <w:szCs w:val="28"/>
        </w:rPr>
      </w:pPr>
      <w:r>
        <w:rPr>
          <w:rFonts w:ascii="Arial" w:hAnsi="Arial" w:cs="Arial"/>
          <w:b/>
          <w:color w:val="002060"/>
          <w:sz w:val="28"/>
          <w:szCs w:val="28"/>
        </w:rPr>
        <w:lastRenderedPageBreak/>
        <w:t xml:space="preserve">Adaptación del </w:t>
      </w:r>
      <w:r w:rsidR="00EA572F">
        <w:rPr>
          <w:rFonts w:ascii="Arial" w:hAnsi="Arial" w:cs="Arial"/>
          <w:b/>
          <w:color w:val="002060"/>
          <w:sz w:val="28"/>
          <w:szCs w:val="28"/>
        </w:rPr>
        <w:t>Gobierno Corporativo</w:t>
      </w:r>
    </w:p>
    <w:p w:rsidR="00EA572F" w:rsidRPr="00D21E0A" w:rsidRDefault="00EA572F" w:rsidP="00EA572F">
      <w:pPr>
        <w:pStyle w:val="Sinespaciado"/>
        <w:ind w:firstLine="360"/>
        <w:jc w:val="both"/>
        <w:rPr>
          <w:rFonts w:ascii="Arial" w:hAnsi="Arial" w:cs="Arial"/>
          <w:sz w:val="28"/>
          <w:szCs w:val="28"/>
        </w:rPr>
      </w:pPr>
    </w:p>
    <w:p w:rsidR="00994941" w:rsidRDefault="00EA572F" w:rsidP="00994941">
      <w:pPr>
        <w:pStyle w:val="Sinespaciad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Durante 2015, Acerinox inició </w:t>
      </w:r>
      <w:r w:rsidR="00256FAA">
        <w:rPr>
          <w:rFonts w:ascii="Arial" w:hAnsi="Arial" w:cs="Arial"/>
        </w:rPr>
        <w:t>un proceso de adaptación de su G</w:t>
      </w:r>
      <w:r>
        <w:rPr>
          <w:rFonts w:ascii="Arial" w:hAnsi="Arial" w:cs="Arial"/>
        </w:rPr>
        <w:t xml:space="preserve">obierno </w:t>
      </w:r>
      <w:r w:rsidR="00256FAA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orporativo a las prescripciones de la reciente Ley Española de Sociedades de Capital, así como a las recomendaciones del nuevo </w:t>
      </w:r>
      <w:r w:rsidR="00331B71">
        <w:rPr>
          <w:rFonts w:ascii="Arial" w:hAnsi="Arial" w:cs="Arial"/>
        </w:rPr>
        <w:t>Código de Buen</w:t>
      </w:r>
      <w:r>
        <w:rPr>
          <w:rFonts w:ascii="Arial" w:hAnsi="Arial" w:cs="Arial"/>
        </w:rPr>
        <w:t xml:space="preserve"> Gobierno Corporativo de las Sociedades Cotizadas Españolas. </w:t>
      </w:r>
      <w:r w:rsidR="00256FAA" w:rsidRPr="00256FAA">
        <w:rPr>
          <w:rFonts w:ascii="Arial" w:hAnsi="Arial" w:cs="Arial"/>
          <w:szCs w:val="24"/>
        </w:rPr>
        <w:t xml:space="preserve">Acerinox cumple el 95% de las recomendaciones de </w:t>
      </w:r>
      <w:r w:rsidR="00256FAA">
        <w:rPr>
          <w:rFonts w:ascii="Arial" w:hAnsi="Arial" w:cs="Arial"/>
          <w:szCs w:val="24"/>
        </w:rPr>
        <w:t>dicho informe.</w:t>
      </w:r>
    </w:p>
    <w:p w:rsidR="00994941" w:rsidRDefault="00994941" w:rsidP="00EA572F">
      <w:pPr>
        <w:pStyle w:val="Sinespaciado"/>
        <w:jc w:val="both"/>
        <w:rPr>
          <w:rFonts w:ascii="Arial" w:hAnsi="Arial" w:cs="Arial"/>
        </w:rPr>
      </w:pPr>
    </w:p>
    <w:p w:rsidR="00EA572F" w:rsidRPr="00596145" w:rsidRDefault="00994941" w:rsidP="00994941">
      <w:pPr>
        <w:pStyle w:val="Sinespaciad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esta línea, se adaptaron los Estatutos de la compañía, del Reglamento de la Junta General y del Consejo de Administración. Además, se aprobó una norma específica de relación entre el Consejo de Administración y el Consejero Delegado y una serie de políticas de funcionamiento que van en la línea de elevar el nivel del gobierno corporativo, favorecer la transparencia en la toma de decisiones, la información a los accionistas y la relación con los grupos de interés. </w:t>
      </w:r>
    </w:p>
    <w:sectPr w:rsidR="00EA572F" w:rsidRPr="00596145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BFB" w:rsidRDefault="00161BFB" w:rsidP="00666AF7">
      <w:r>
        <w:separator/>
      </w:r>
    </w:p>
  </w:endnote>
  <w:endnote w:type="continuationSeparator" w:id="0">
    <w:p w:rsidR="00161BFB" w:rsidRDefault="00161BFB" w:rsidP="00666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145" w:rsidRPr="008E6472" w:rsidRDefault="00596145" w:rsidP="00596145">
    <w:pPr>
      <w:pStyle w:val="Sinespaciado"/>
      <w:rPr>
        <w:rStyle w:val="nfasisintenso"/>
        <w:rFonts w:ascii="Arial" w:hAnsi="Arial" w:cs="Arial"/>
        <w:i w:val="0"/>
        <w:color w:val="002060"/>
        <w:sz w:val="16"/>
        <w:szCs w:val="16"/>
      </w:rPr>
    </w:pPr>
    <w:r w:rsidRPr="008E6472">
      <w:rPr>
        <w:rStyle w:val="nfasisintenso"/>
        <w:rFonts w:ascii="Arial" w:hAnsi="Arial" w:cs="Arial"/>
        <w:color w:val="002060"/>
        <w:sz w:val="16"/>
        <w:szCs w:val="16"/>
      </w:rPr>
      <w:t>Departamento de Comunicación:</w:t>
    </w:r>
  </w:p>
  <w:p w:rsidR="00596145" w:rsidRPr="008E6472" w:rsidRDefault="00596145" w:rsidP="00596145">
    <w:pPr>
      <w:pStyle w:val="Sinespaciado"/>
      <w:rPr>
        <w:rStyle w:val="nfasisintenso"/>
        <w:rFonts w:ascii="Arial" w:hAnsi="Arial" w:cs="Arial"/>
        <w:i w:val="0"/>
        <w:color w:val="002060"/>
        <w:sz w:val="16"/>
        <w:szCs w:val="16"/>
      </w:rPr>
    </w:pPr>
  </w:p>
  <w:p w:rsidR="00596145" w:rsidRPr="008E6472" w:rsidRDefault="00596145" w:rsidP="00596145">
    <w:pPr>
      <w:pStyle w:val="Sinespaciado"/>
      <w:rPr>
        <w:rStyle w:val="nfasisintenso"/>
        <w:rFonts w:ascii="Arial" w:hAnsi="Arial" w:cs="Arial"/>
        <w:i w:val="0"/>
        <w:color w:val="002060"/>
        <w:sz w:val="16"/>
        <w:szCs w:val="16"/>
      </w:rPr>
    </w:pPr>
    <w:r w:rsidRPr="008E6472">
      <w:rPr>
        <w:rStyle w:val="nfasisintenso"/>
        <w:rFonts w:ascii="Arial" w:hAnsi="Arial" w:cs="Arial"/>
        <w:color w:val="002060"/>
        <w:sz w:val="16"/>
        <w:szCs w:val="16"/>
      </w:rPr>
      <w:t xml:space="preserve">               913 985 130</w:t>
    </w:r>
  </w:p>
  <w:p w:rsidR="00596145" w:rsidRDefault="00596145" w:rsidP="00596145">
    <w:pPr>
      <w:pStyle w:val="Piedepgina"/>
    </w:pPr>
    <w:r w:rsidRPr="008E6472">
      <w:rPr>
        <w:rStyle w:val="nfasisintenso"/>
        <w:rFonts w:ascii="Arial" w:hAnsi="Arial" w:cs="Arial"/>
        <w:color w:val="002060"/>
        <w:sz w:val="16"/>
        <w:szCs w:val="16"/>
      </w:rPr>
      <w:t xml:space="preserve">   </w:t>
    </w:r>
    <w:r>
      <w:rPr>
        <w:rStyle w:val="nfasisintenso"/>
        <w:rFonts w:ascii="Arial" w:hAnsi="Arial" w:cs="Arial"/>
        <w:color w:val="002060"/>
        <w:sz w:val="16"/>
        <w:szCs w:val="16"/>
      </w:rPr>
      <w:t xml:space="preserve">   </w:t>
    </w:r>
    <w:r w:rsidRPr="008E6472">
      <w:rPr>
        <w:rStyle w:val="nfasisintenso"/>
        <w:rFonts w:ascii="Arial" w:hAnsi="Arial" w:cs="Arial"/>
        <w:color w:val="002060"/>
        <w:sz w:val="16"/>
        <w:szCs w:val="16"/>
      </w:rPr>
      <w:t xml:space="preserve">  </w:t>
    </w:r>
    <w:hyperlink r:id="rId1" w:history="1">
      <w:r w:rsidRPr="008E6472">
        <w:rPr>
          <w:rStyle w:val="nfasisintenso"/>
          <w:rFonts w:ascii="Arial" w:hAnsi="Arial" w:cs="Arial"/>
          <w:color w:val="002060"/>
          <w:sz w:val="16"/>
          <w:szCs w:val="16"/>
        </w:rPr>
        <w:t>www.acerinox.com</w:t>
      </w:r>
    </w:hyperlink>
    <w:r>
      <w:tab/>
    </w:r>
    <w:r>
      <w:tab/>
    </w:r>
    <w:r>
      <w:rPr>
        <w:rFonts w:ascii="Arial" w:hAnsi="Arial" w:cs="Arial"/>
        <w:noProof/>
        <w:color w:val="002060"/>
        <w:sz w:val="32"/>
        <w:szCs w:val="32"/>
        <w:lang w:eastAsia="es-ES"/>
      </w:rPr>
      <w:drawing>
        <wp:inline distT="0" distB="0" distL="0" distR="0" wp14:anchorId="51A66A01" wp14:editId="783D8559">
          <wp:extent cx="210820" cy="177165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820" cy="177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A577E">
      <w:rPr>
        <w:rFonts w:ascii="Arial" w:hAnsi="Arial" w:cs="Arial"/>
        <w:color w:val="002060"/>
        <w:sz w:val="32"/>
        <w:szCs w:val="32"/>
      </w:rPr>
      <w:t>@</w:t>
    </w:r>
    <w:proofErr w:type="spellStart"/>
    <w:r w:rsidRPr="008A577E">
      <w:rPr>
        <w:rFonts w:ascii="Arial" w:hAnsi="Arial" w:cs="Arial"/>
        <w:color w:val="002060"/>
        <w:sz w:val="32"/>
        <w:szCs w:val="32"/>
      </w:rPr>
      <w:t>acerinox</w:t>
    </w:r>
    <w:proofErr w:type="spellEnd"/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BFB" w:rsidRDefault="00161BFB" w:rsidP="00666AF7">
      <w:r>
        <w:separator/>
      </w:r>
    </w:p>
  </w:footnote>
  <w:footnote w:type="continuationSeparator" w:id="0">
    <w:p w:rsidR="00161BFB" w:rsidRDefault="00161BFB" w:rsidP="00666A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AF7" w:rsidRPr="004B09DB" w:rsidRDefault="00666AF7" w:rsidP="00666AF7">
    <w:pPr>
      <w:pStyle w:val="Encabezado"/>
      <w:rPr>
        <w:rFonts w:ascii="Arial" w:hAnsi="Arial" w:cs="Arial"/>
        <w:sz w:val="20"/>
      </w:rPr>
    </w:pPr>
    <w:r>
      <w:rPr>
        <w:noProof/>
        <w:lang w:eastAsia="es-ES"/>
      </w:rPr>
      <w:drawing>
        <wp:inline distT="0" distB="0" distL="0" distR="0" wp14:anchorId="7808049F" wp14:editId="66A63647">
          <wp:extent cx="628650" cy="472255"/>
          <wp:effectExtent l="0" t="0" r="0" b="4445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erinox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1714" cy="4745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  <w:t>Madrid, a 29</w:t>
    </w:r>
    <w:r w:rsidRPr="004B09DB">
      <w:rPr>
        <w:rFonts w:ascii="Arial" w:hAnsi="Arial" w:cs="Arial"/>
        <w:sz w:val="20"/>
      </w:rPr>
      <w:t xml:space="preserve"> de febrero de 2016</w:t>
    </w:r>
  </w:p>
  <w:p w:rsidR="00666AF7" w:rsidRDefault="00666AF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59510C"/>
    <w:multiLevelType w:val="hybridMultilevel"/>
    <w:tmpl w:val="FE64E7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AF7"/>
    <w:rsid w:val="000F5D13"/>
    <w:rsid w:val="0013541D"/>
    <w:rsid w:val="00161BFB"/>
    <w:rsid w:val="00256FAA"/>
    <w:rsid w:val="002B1121"/>
    <w:rsid w:val="002D039E"/>
    <w:rsid w:val="002E208A"/>
    <w:rsid w:val="002E551B"/>
    <w:rsid w:val="00331B71"/>
    <w:rsid w:val="00487ED3"/>
    <w:rsid w:val="004D0859"/>
    <w:rsid w:val="00596145"/>
    <w:rsid w:val="00666AF7"/>
    <w:rsid w:val="006A0315"/>
    <w:rsid w:val="006A508F"/>
    <w:rsid w:val="007313F2"/>
    <w:rsid w:val="007C4479"/>
    <w:rsid w:val="008250C1"/>
    <w:rsid w:val="008A540F"/>
    <w:rsid w:val="00967A0C"/>
    <w:rsid w:val="00994941"/>
    <w:rsid w:val="00A94AB8"/>
    <w:rsid w:val="00B14C3B"/>
    <w:rsid w:val="00D21E0A"/>
    <w:rsid w:val="00EA572F"/>
    <w:rsid w:val="00EE131C"/>
    <w:rsid w:val="00F45AA5"/>
    <w:rsid w:val="00F970AF"/>
    <w:rsid w:val="00FA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AF7"/>
    <w:pPr>
      <w:spacing w:after="0" w:line="240" w:lineRule="auto"/>
    </w:pPr>
    <w:rPr>
      <w:rFonts w:ascii="Times" w:eastAsia="Times New Roman" w:hAnsi="Times" w:cs="Times New Roman"/>
      <w:sz w:val="24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66A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6AF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66AF7"/>
  </w:style>
  <w:style w:type="paragraph" w:styleId="Piedepgina">
    <w:name w:val="footer"/>
    <w:basedOn w:val="Normal"/>
    <w:link w:val="PiedepginaCar"/>
    <w:uiPriority w:val="99"/>
    <w:unhideWhenUsed/>
    <w:rsid w:val="00666AF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66AF7"/>
  </w:style>
  <w:style w:type="paragraph" w:styleId="Textodeglobo">
    <w:name w:val="Balloon Text"/>
    <w:basedOn w:val="Normal"/>
    <w:link w:val="TextodegloboCar"/>
    <w:uiPriority w:val="99"/>
    <w:semiHidden/>
    <w:unhideWhenUsed/>
    <w:rsid w:val="00666AF7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6AF7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666A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666AF7"/>
    <w:pPr>
      <w:ind w:left="720"/>
      <w:contextualSpacing/>
    </w:pPr>
  </w:style>
  <w:style w:type="paragraph" w:styleId="Sinespaciado">
    <w:name w:val="No Spacing"/>
    <w:uiPriority w:val="99"/>
    <w:qFormat/>
    <w:rsid w:val="00596145"/>
    <w:pPr>
      <w:spacing w:after="0" w:line="240" w:lineRule="auto"/>
    </w:pPr>
    <w:rPr>
      <w:rFonts w:ascii="Times" w:eastAsia="Times New Roman" w:hAnsi="Times" w:cs="Times New Roman"/>
      <w:sz w:val="24"/>
      <w:szCs w:val="20"/>
      <w:lang w:val="es-ES_tradnl" w:eastAsia="es-ES"/>
    </w:rPr>
  </w:style>
  <w:style w:type="character" w:styleId="nfasisintenso">
    <w:name w:val="Intense Emphasis"/>
    <w:uiPriority w:val="99"/>
    <w:qFormat/>
    <w:rsid w:val="00596145"/>
    <w:rPr>
      <w:rFonts w:cs="Times New Roman"/>
      <w:b/>
      <w:bCs/>
      <w:i/>
      <w:iCs/>
      <w:color w:val="4F81B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AF7"/>
    <w:pPr>
      <w:spacing w:after="0" w:line="240" w:lineRule="auto"/>
    </w:pPr>
    <w:rPr>
      <w:rFonts w:ascii="Times" w:eastAsia="Times New Roman" w:hAnsi="Times" w:cs="Times New Roman"/>
      <w:sz w:val="24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66A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6AF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66AF7"/>
  </w:style>
  <w:style w:type="paragraph" w:styleId="Piedepgina">
    <w:name w:val="footer"/>
    <w:basedOn w:val="Normal"/>
    <w:link w:val="PiedepginaCar"/>
    <w:uiPriority w:val="99"/>
    <w:unhideWhenUsed/>
    <w:rsid w:val="00666AF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66AF7"/>
  </w:style>
  <w:style w:type="paragraph" w:styleId="Textodeglobo">
    <w:name w:val="Balloon Text"/>
    <w:basedOn w:val="Normal"/>
    <w:link w:val="TextodegloboCar"/>
    <w:uiPriority w:val="99"/>
    <w:semiHidden/>
    <w:unhideWhenUsed/>
    <w:rsid w:val="00666AF7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6AF7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666A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666AF7"/>
    <w:pPr>
      <w:ind w:left="720"/>
      <w:contextualSpacing/>
    </w:pPr>
  </w:style>
  <w:style w:type="paragraph" w:styleId="Sinespaciado">
    <w:name w:val="No Spacing"/>
    <w:uiPriority w:val="99"/>
    <w:qFormat/>
    <w:rsid w:val="00596145"/>
    <w:pPr>
      <w:spacing w:after="0" w:line="240" w:lineRule="auto"/>
    </w:pPr>
    <w:rPr>
      <w:rFonts w:ascii="Times" w:eastAsia="Times New Roman" w:hAnsi="Times" w:cs="Times New Roman"/>
      <w:sz w:val="24"/>
      <w:szCs w:val="20"/>
      <w:lang w:val="es-ES_tradnl" w:eastAsia="es-ES"/>
    </w:rPr>
  </w:style>
  <w:style w:type="character" w:styleId="nfasisintenso">
    <w:name w:val="Intense Emphasis"/>
    <w:uiPriority w:val="99"/>
    <w:qFormat/>
    <w:rsid w:val="00596145"/>
    <w:rPr>
      <w:rFonts w:cs="Times New Roman"/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acerinox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782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Iñigo Rodriguez Vicens</dc:creator>
  <cp:lastModifiedBy>Iñigo Rodriguez Vicens</cp:lastModifiedBy>
  <cp:revision>13</cp:revision>
  <cp:lastPrinted>2016-02-29T17:34:00Z</cp:lastPrinted>
  <dcterms:created xsi:type="dcterms:W3CDTF">2016-02-24T19:12:00Z</dcterms:created>
  <dcterms:modified xsi:type="dcterms:W3CDTF">2016-02-29T17:34:00Z</dcterms:modified>
</cp:coreProperties>
</file>